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05120" w:rsidRDefault="00820254">
      <w:pPr>
        <w:spacing w:after="160" w:line="331"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Data Appendix </w:t>
      </w:r>
    </w:p>
    <w:p w14:paraId="00000002" w14:textId="77777777" w:rsidR="00305120" w:rsidRDefault="00820254">
      <w:pPr>
        <w:spacing w:line="288"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u w:val="single"/>
        </w:rPr>
        <w:t>Article: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Cost-effectiveness of </w:t>
      </w:r>
      <w:proofErr w:type="spellStart"/>
      <w:r>
        <w:rPr>
          <w:rFonts w:ascii="Times New Roman" w:eastAsia="Times New Roman" w:hAnsi="Times New Roman" w:cs="Times New Roman"/>
          <w:b/>
          <w:sz w:val="24"/>
          <w:szCs w:val="24"/>
        </w:rPr>
        <w:t>Venetoclax</w:t>
      </w:r>
      <w:proofErr w:type="spellEnd"/>
      <w:r>
        <w:rPr>
          <w:rFonts w:ascii="Times New Roman" w:eastAsia="Times New Roman" w:hAnsi="Times New Roman" w:cs="Times New Roman"/>
          <w:b/>
          <w:sz w:val="24"/>
          <w:szCs w:val="24"/>
        </w:rPr>
        <w:t xml:space="preserve"> plus </w:t>
      </w:r>
      <w:proofErr w:type="spellStart"/>
      <w:r>
        <w:rPr>
          <w:rFonts w:ascii="Times New Roman" w:eastAsia="Times New Roman" w:hAnsi="Times New Roman" w:cs="Times New Roman"/>
          <w:b/>
          <w:sz w:val="24"/>
          <w:szCs w:val="24"/>
        </w:rPr>
        <w:t>Obinutuzumab</w:t>
      </w:r>
      <w:proofErr w:type="spellEnd"/>
      <w:r>
        <w:rPr>
          <w:rFonts w:ascii="Times New Roman" w:eastAsia="Times New Roman" w:hAnsi="Times New Roman" w:cs="Times New Roman"/>
          <w:b/>
          <w:sz w:val="24"/>
          <w:szCs w:val="24"/>
        </w:rPr>
        <w:t xml:space="preserve"> versus </w:t>
      </w:r>
      <w:proofErr w:type="spellStart"/>
      <w:r>
        <w:rPr>
          <w:rFonts w:ascii="Times New Roman" w:eastAsia="Times New Roman" w:hAnsi="Times New Roman" w:cs="Times New Roman"/>
          <w:b/>
          <w:sz w:val="24"/>
          <w:szCs w:val="24"/>
        </w:rPr>
        <w:t>Chlorambucil</w:t>
      </w:r>
      <w:proofErr w:type="spellEnd"/>
      <w:r>
        <w:rPr>
          <w:rFonts w:ascii="Times New Roman" w:eastAsia="Times New Roman" w:hAnsi="Times New Roman" w:cs="Times New Roman"/>
          <w:b/>
          <w:sz w:val="24"/>
          <w:szCs w:val="24"/>
        </w:rPr>
        <w:t xml:space="preserve"> plus </w:t>
      </w:r>
      <w:proofErr w:type="spellStart"/>
      <w:r>
        <w:rPr>
          <w:rFonts w:ascii="Times New Roman" w:eastAsia="Times New Roman" w:hAnsi="Times New Roman" w:cs="Times New Roman"/>
          <w:b/>
          <w:sz w:val="24"/>
          <w:szCs w:val="24"/>
        </w:rPr>
        <w:t>Obinutuzumab</w:t>
      </w:r>
      <w:proofErr w:type="spellEnd"/>
      <w:r>
        <w:rPr>
          <w:rFonts w:ascii="Times New Roman" w:eastAsia="Times New Roman" w:hAnsi="Times New Roman" w:cs="Times New Roman"/>
          <w:b/>
          <w:sz w:val="24"/>
          <w:szCs w:val="24"/>
        </w:rPr>
        <w:t xml:space="preserve"> for the First-Line Treatment of Adult </w:t>
      </w:r>
    </w:p>
    <w:p w14:paraId="00000003" w14:textId="77777777" w:rsidR="00305120" w:rsidRDefault="0082025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Patients with Chronic Lymphocytic Leukemia - An extended societal view</w:t>
      </w:r>
    </w:p>
    <w:p w14:paraId="00000004" w14:textId="73243E25" w:rsidR="00305120" w:rsidRDefault="00820254">
      <w:pPr>
        <w:rPr>
          <w:rFonts w:ascii="Times New Roman" w:eastAsia="Times New Roman" w:hAnsi="Times New Roman" w:cs="Times New Roman"/>
          <w:b/>
          <w:sz w:val="24"/>
          <w:szCs w:val="24"/>
        </w:rPr>
      </w:pPr>
      <w:r>
        <w:rPr>
          <w:rFonts w:ascii="Times New Roman" w:eastAsia="Times New Roman" w:hAnsi="Times New Roman" w:cs="Times New Roman"/>
          <w:sz w:val="24"/>
          <w:szCs w:val="24"/>
          <w:u w:val="single"/>
        </w:rPr>
        <w:t>Authors:</w:t>
      </w:r>
      <w:r w:rsidR="007D4FFA">
        <w:rPr>
          <w:rFonts w:ascii="Times New Roman" w:eastAsia="Times New Roman" w:hAnsi="Times New Roman" w:cs="Times New Roman"/>
          <w:b/>
          <w:sz w:val="24"/>
          <w:szCs w:val="24"/>
        </w:rPr>
        <w:t xml:space="preserve"> Ngoc Do, M.S., Frederick </w:t>
      </w:r>
      <w:proofErr w:type="spellStart"/>
      <w:r w:rsidR="007D4FFA">
        <w:rPr>
          <w:rFonts w:ascii="Times New Roman" w:eastAsia="Times New Roman" w:hAnsi="Times New Roman" w:cs="Times New Roman"/>
          <w:b/>
          <w:sz w:val="24"/>
          <w:szCs w:val="24"/>
        </w:rPr>
        <w:t>Thie</w:t>
      </w:r>
      <w:r>
        <w:rPr>
          <w:rFonts w:ascii="Times New Roman" w:eastAsia="Times New Roman" w:hAnsi="Times New Roman" w:cs="Times New Roman"/>
          <w:b/>
          <w:sz w:val="24"/>
          <w:szCs w:val="24"/>
        </w:rPr>
        <w:t>le</w:t>
      </w:r>
      <w:r w:rsidR="007D4FFA">
        <w:rPr>
          <w:rFonts w:ascii="Times New Roman" w:eastAsia="Times New Roman" w:hAnsi="Times New Roman" w:cs="Times New Roman"/>
          <w:b/>
          <w:sz w:val="24"/>
          <w:szCs w:val="24"/>
        </w:rPr>
        <w:t>n</w:t>
      </w:r>
      <w:proofErr w:type="spellEnd"/>
      <w:r w:rsidR="007D4FFA">
        <w:rPr>
          <w:rFonts w:ascii="Times New Roman" w:eastAsia="Times New Roman" w:hAnsi="Times New Roman" w:cs="Times New Roman"/>
          <w:b/>
          <w:sz w:val="24"/>
          <w:szCs w:val="24"/>
        </w:rPr>
        <w:t>, Ph.D.</w:t>
      </w:r>
    </w:p>
    <w:p w14:paraId="00000005" w14:textId="77777777" w:rsidR="00305120" w:rsidRDefault="00305120">
      <w:pPr>
        <w:rPr>
          <w:rFonts w:ascii="Times New Roman" w:eastAsia="Times New Roman" w:hAnsi="Times New Roman" w:cs="Times New Roman"/>
          <w:sz w:val="18"/>
          <w:szCs w:val="18"/>
        </w:rPr>
      </w:pPr>
    </w:p>
    <w:p w14:paraId="00000006" w14:textId="77777777" w:rsidR="00305120" w:rsidRDefault="00820254">
      <w:pPr>
        <w:spacing w:after="160"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7" w14:textId="50710EA5" w:rsidR="00305120" w:rsidRDefault="00820254">
      <w:pPr>
        <w:spacing w:after="160"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Appendix </w:t>
      </w:r>
      <w:r>
        <w:rPr>
          <w:rFonts w:ascii="Times New Roman" w:eastAsia="Times New Roman" w:hAnsi="Times New Roman" w:cs="Times New Roman"/>
          <w:sz w:val="24"/>
          <w:szCs w:val="24"/>
        </w:rPr>
        <w:t>provides a description of each tab in our Excel model used to output the results represented in our article.</w:t>
      </w:r>
    </w:p>
    <w:p w14:paraId="00000008" w14:textId="77777777" w:rsidR="00305120" w:rsidRDefault="00820254">
      <w:pPr>
        <w:spacing w:after="160" w:line="331" w:lineRule="auto"/>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Overview of the Project:</w:t>
      </w:r>
    </w:p>
    <w:p w14:paraId="00000009"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w:t>
      </w:r>
      <w:r>
        <w:rPr>
          <w:rFonts w:ascii="Times New Roman" w:eastAsia="Times New Roman" w:hAnsi="Times New Roman" w:cs="Times New Roman"/>
          <w:sz w:val="24"/>
          <w:szCs w:val="24"/>
        </w:rPr>
        <w:t xml:space="preserve">rch question: “Is </w:t>
      </w:r>
      <w:proofErr w:type="spellStart"/>
      <w:r>
        <w:rPr>
          <w:rFonts w:ascii="Times New Roman" w:eastAsia="Times New Roman" w:hAnsi="Times New Roman" w:cs="Times New Roman"/>
          <w:sz w:val="24"/>
          <w:szCs w:val="24"/>
        </w:rPr>
        <w:t>Venetoclax</w:t>
      </w:r>
      <w:proofErr w:type="spellEnd"/>
      <w:r>
        <w:rPr>
          <w:rFonts w:ascii="Times New Roman" w:eastAsia="Times New Roman" w:hAnsi="Times New Roman" w:cs="Times New Roman"/>
          <w:sz w:val="24"/>
          <w:szCs w:val="24"/>
        </w:rPr>
        <w:t xml:space="preserve"> plus </w:t>
      </w:r>
      <w:proofErr w:type="spellStart"/>
      <w:r>
        <w:rPr>
          <w:rFonts w:ascii="Times New Roman" w:eastAsia="Times New Roman" w:hAnsi="Times New Roman" w:cs="Times New Roman"/>
          <w:sz w:val="24"/>
          <w:szCs w:val="24"/>
        </w:rPr>
        <w:t>Obinutuzumab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VenO</w:t>
      </w:r>
      <w:proofErr w:type="spellEnd"/>
      <w:r>
        <w:rPr>
          <w:rFonts w:ascii="Times New Roman" w:eastAsia="Times New Roman" w:hAnsi="Times New Roman" w:cs="Times New Roman"/>
          <w:sz w:val="24"/>
          <w:szCs w:val="24"/>
        </w:rPr>
        <w:t xml:space="preserve">) cost-effective compared to </w:t>
      </w:r>
      <w:proofErr w:type="spellStart"/>
      <w:r>
        <w:rPr>
          <w:rFonts w:ascii="Times New Roman" w:eastAsia="Times New Roman" w:hAnsi="Times New Roman" w:cs="Times New Roman"/>
          <w:sz w:val="24"/>
          <w:szCs w:val="24"/>
        </w:rPr>
        <w:t>Chlorambucil</w:t>
      </w:r>
      <w:proofErr w:type="spellEnd"/>
      <w:r>
        <w:rPr>
          <w:rFonts w:ascii="Times New Roman" w:eastAsia="Times New Roman" w:hAnsi="Times New Roman" w:cs="Times New Roman"/>
          <w:sz w:val="24"/>
          <w:szCs w:val="24"/>
        </w:rPr>
        <w:t xml:space="preserve"> plus </w:t>
      </w:r>
      <w:proofErr w:type="spellStart"/>
      <w:r>
        <w:rPr>
          <w:rFonts w:ascii="Times New Roman" w:eastAsia="Times New Roman" w:hAnsi="Times New Roman" w:cs="Times New Roman"/>
          <w:sz w:val="24"/>
          <w:szCs w:val="24"/>
        </w:rPr>
        <w:t>Obinutuzumab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ClbO</w:t>
      </w:r>
      <w:proofErr w:type="spellEnd"/>
      <w:r>
        <w:rPr>
          <w:rFonts w:ascii="Times New Roman" w:eastAsia="Times New Roman" w:hAnsi="Times New Roman" w:cs="Times New Roman"/>
          <w:sz w:val="24"/>
          <w:szCs w:val="24"/>
        </w:rPr>
        <w:t>) for previously untreated CLL patients under the Dutch societal perspective setting?”</w:t>
      </w:r>
    </w:p>
    <w:p w14:paraId="0000000A"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population: Adults who have a mean age of 7</w:t>
      </w:r>
      <w:r>
        <w:rPr>
          <w:rFonts w:ascii="Times New Roman" w:eastAsia="Times New Roman" w:hAnsi="Times New Roman" w:cs="Times New Roman"/>
          <w:sz w:val="24"/>
          <w:szCs w:val="24"/>
        </w:rPr>
        <w:t>1, have untreated CLL with coexisting conditions.</w:t>
      </w:r>
    </w:p>
    <w:p w14:paraId="0000000B"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Intervention: </w:t>
      </w:r>
      <w:proofErr w:type="spellStart"/>
      <w:r>
        <w:rPr>
          <w:rFonts w:ascii="Times New Roman" w:eastAsia="Times New Roman" w:hAnsi="Times New Roman" w:cs="Times New Roman"/>
          <w:sz w:val="24"/>
          <w:szCs w:val="24"/>
        </w:rPr>
        <w:t>Venetoclax</w:t>
      </w:r>
      <w:proofErr w:type="spellEnd"/>
      <w:r>
        <w:rPr>
          <w:rFonts w:ascii="Times New Roman" w:eastAsia="Times New Roman" w:hAnsi="Times New Roman" w:cs="Times New Roman"/>
          <w:sz w:val="24"/>
          <w:szCs w:val="24"/>
        </w:rPr>
        <w:t xml:space="preserve"> in combination with </w:t>
      </w:r>
      <w:proofErr w:type="spellStart"/>
      <w:r>
        <w:rPr>
          <w:rFonts w:ascii="Times New Roman" w:eastAsia="Times New Roman" w:hAnsi="Times New Roman" w:cs="Times New Roman"/>
          <w:sz w:val="24"/>
          <w:szCs w:val="24"/>
        </w:rPr>
        <w:t>Obinutuzumab</w:t>
      </w:r>
      <w:proofErr w:type="spellEnd"/>
    </w:p>
    <w:p w14:paraId="0000000C"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Comparator: </w:t>
      </w:r>
      <w:proofErr w:type="spellStart"/>
      <w:r>
        <w:rPr>
          <w:rFonts w:ascii="Times New Roman" w:eastAsia="Times New Roman" w:hAnsi="Times New Roman" w:cs="Times New Roman"/>
          <w:sz w:val="24"/>
          <w:szCs w:val="24"/>
        </w:rPr>
        <w:t>Chlorambucil</w:t>
      </w:r>
      <w:proofErr w:type="spellEnd"/>
      <w:r>
        <w:rPr>
          <w:rFonts w:ascii="Times New Roman" w:eastAsia="Times New Roman" w:hAnsi="Times New Roman" w:cs="Times New Roman"/>
          <w:sz w:val="24"/>
          <w:szCs w:val="24"/>
        </w:rPr>
        <w:t xml:space="preserve"> in combination with </w:t>
      </w:r>
      <w:proofErr w:type="spellStart"/>
      <w:r>
        <w:rPr>
          <w:rFonts w:ascii="Times New Roman" w:eastAsia="Times New Roman" w:hAnsi="Times New Roman" w:cs="Times New Roman"/>
          <w:sz w:val="24"/>
          <w:szCs w:val="24"/>
        </w:rPr>
        <w:t>Obinutuzumab</w:t>
      </w:r>
      <w:proofErr w:type="spellEnd"/>
    </w:p>
    <w:p w14:paraId="0000000D"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 Extended societal perspective</w:t>
      </w:r>
    </w:p>
    <w:p w14:paraId="0000000E" w14:textId="77777777" w:rsidR="00305120" w:rsidRDefault="00820254">
      <w:pPr>
        <w:numPr>
          <w:ilvl w:val="0"/>
          <w:numId w:val="2"/>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horizon of the model: 29 years</w:t>
      </w:r>
    </w:p>
    <w:p w14:paraId="0000000F" w14:textId="77777777" w:rsidR="00305120" w:rsidRDefault="00820254">
      <w:pPr>
        <w:numPr>
          <w:ilvl w:val="0"/>
          <w:numId w:val="2"/>
        </w:numPr>
        <w:spacing w:after="160"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Cycle durat</w:t>
      </w:r>
      <w:r>
        <w:rPr>
          <w:rFonts w:ascii="Times New Roman" w:eastAsia="Times New Roman" w:hAnsi="Times New Roman" w:cs="Times New Roman"/>
          <w:sz w:val="24"/>
          <w:szCs w:val="24"/>
        </w:rPr>
        <w:t>ion: 28 days</w:t>
      </w:r>
    </w:p>
    <w:p w14:paraId="00000010" w14:textId="77777777" w:rsidR="00305120" w:rsidRDefault="00820254">
      <w:pPr>
        <w:spacing w:after="160" w:line="331"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u w:val="single"/>
        </w:rPr>
        <w:t xml:space="preserve">Descriptions of the Excel model tabs: </w:t>
      </w:r>
    </w:p>
    <w:p w14:paraId="00000011"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Project information</w:t>
      </w:r>
      <w:r>
        <w:rPr>
          <w:rFonts w:ascii="Times New Roman" w:eastAsia="Times New Roman" w:hAnsi="Times New Roman" w:cs="Times New Roman"/>
          <w:sz w:val="24"/>
          <w:szCs w:val="24"/>
        </w:rPr>
        <w:t>: an introduction of the research project including the research question, intervention, comparator, the model structure, and so on.</w:t>
      </w:r>
    </w:p>
    <w:p w14:paraId="00000012" w14:textId="47128B74"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Analysis:</w:t>
      </w:r>
      <w:r>
        <w:rPr>
          <w:rFonts w:ascii="Times New Roman" w:eastAsia="Times New Roman" w:hAnsi="Times New Roman" w:cs="Times New Roman"/>
          <w:sz w:val="24"/>
          <w:szCs w:val="24"/>
        </w:rPr>
        <w:t xml:space="preserve"> the model outcomes including incremental c</w:t>
      </w:r>
      <w:r>
        <w:rPr>
          <w:rFonts w:ascii="Times New Roman" w:eastAsia="Times New Roman" w:hAnsi="Times New Roman" w:cs="Times New Roman"/>
          <w:sz w:val="24"/>
          <w:szCs w:val="24"/>
        </w:rPr>
        <w:t xml:space="preserve">osts, incremental effects, and </w:t>
      </w:r>
      <w:r w:rsidR="007D4FFA">
        <w:rPr>
          <w:rFonts w:ascii="Times New Roman" w:eastAsia="Times New Roman" w:hAnsi="Times New Roman" w:cs="Times New Roman"/>
          <w:sz w:val="24"/>
          <w:szCs w:val="24"/>
        </w:rPr>
        <w:t xml:space="preserve">incremental cost-effectiveness ratios - </w:t>
      </w:r>
      <w:r>
        <w:rPr>
          <w:rFonts w:ascii="Times New Roman" w:eastAsia="Times New Roman" w:hAnsi="Times New Roman" w:cs="Times New Roman"/>
          <w:sz w:val="24"/>
          <w:szCs w:val="24"/>
        </w:rPr>
        <w:t>ICERs (discounted and undiscounted) are presented in this tab.</w:t>
      </w:r>
    </w:p>
    <w:p w14:paraId="00000013" w14:textId="4CCFE9A6"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Parameters</w:t>
      </w:r>
      <w:r>
        <w:rPr>
          <w:rFonts w:ascii="Times New Roman" w:eastAsia="Times New Roman" w:hAnsi="Times New Roman" w:cs="Times New Roman"/>
          <w:sz w:val="24"/>
          <w:szCs w:val="24"/>
        </w:rPr>
        <w:t>: All parameters</w:t>
      </w:r>
      <w:r w:rsidR="007D4FF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descriptions, their deterministic and probabilistic values, as well as sources of where the parameter values taken from, are presented </w:t>
      </w:r>
      <w:r>
        <w:rPr>
          <w:rFonts w:ascii="Times New Roman" w:eastAsia="Times New Roman" w:hAnsi="Times New Roman" w:cs="Times New Roman"/>
          <w:sz w:val="24"/>
          <w:szCs w:val="24"/>
        </w:rPr>
        <w:t>in this tab.</w:t>
      </w:r>
    </w:p>
    <w:p w14:paraId="00000014" w14:textId="77777777" w:rsidR="00305120" w:rsidRDefault="00820254">
      <w:pPr>
        <w:numPr>
          <w:ilvl w:val="0"/>
          <w:numId w:val="1"/>
        </w:numPr>
        <w:spacing w:line="331"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VenO</w:t>
      </w:r>
      <w:proofErr w:type="spellEnd"/>
      <w:r>
        <w:rPr>
          <w:rFonts w:ascii="Times New Roman" w:eastAsia="Times New Roman" w:hAnsi="Times New Roman" w:cs="Times New Roman"/>
          <w:sz w:val="24"/>
          <w:szCs w:val="24"/>
        </w:rPr>
        <w:t xml:space="preserve">: Costs and health effects pertaining to patients receiving </w:t>
      </w:r>
      <w:proofErr w:type="spellStart"/>
      <w:r>
        <w:rPr>
          <w:rFonts w:ascii="Times New Roman" w:eastAsia="Times New Roman" w:hAnsi="Times New Roman" w:cs="Times New Roman"/>
          <w:sz w:val="24"/>
          <w:szCs w:val="24"/>
        </w:rPr>
        <w:t>Venetoclax</w:t>
      </w:r>
      <w:proofErr w:type="spellEnd"/>
      <w:r>
        <w:rPr>
          <w:rFonts w:ascii="Times New Roman" w:eastAsia="Times New Roman" w:hAnsi="Times New Roman" w:cs="Times New Roman"/>
          <w:sz w:val="24"/>
          <w:szCs w:val="24"/>
        </w:rPr>
        <w:t xml:space="preserve"> in combination with </w:t>
      </w:r>
      <w:proofErr w:type="spellStart"/>
      <w:r>
        <w:rPr>
          <w:rFonts w:ascii="Times New Roman" w:eastAsia="Times New Roman" w:hAnsi="Times New Roman" w:cs="Times New Roman"/>
          <w:sz w:val="24"/>
          <w:szCs w:val="24"/>
        </w:rPr>
        <w:t>Obinutuzumab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VenO</w:t>
      </w:r>
      <w:proofErr w:type="spellEnd"/>
      <w:r>
        <w:rPr>
          <w:rFonts w:ascii="Times New Roman" w:eastAsia="Times New Roman" w:hAnsi="Times New Roman" w:cs="Times New Roman"/>
          <w:sz w:val="24"/>
          <w:szCs w:val="24"/>
        </w:rPr>
        <w:t>) are formulated and calculated in this tab.</w:t>
      </w:r>
    </w:p>
    <w:p w14:paraId="00000015" w14:textId="77777777" w:rsidR="00305120" w:rsidRDefault="00820254">
      <w:pPr>
        <w:numPr>
          <w:ilvl w:val="0"/>
          <w:numId w:val="1"/>
        </w:numPr>
        <w:spacing w:line="331"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ClbO</w:t>
      </w:r>
      <w:proofErr w:type="spellEnd"/>
      <w:r>
        <w:rPr>
          <w:rFonts w:ascii="Times New Roman" w:eastAsia="Times New Roman" w:hAnsi="Times New Roman" w:cs="Times New Roman"/>
          <w:sz w:val="24"/>
          <w:szCs w:val="24"/>
        </w:rPr>
        <w:t xml:space="preserve">: Costs and health effects pertaining to patients receiving </w:t>
      </w:r>
      <w:proofErr w:type="spellStart"/>
      <w:r>
        <w:rPr>
          <w:rFonts w:ascii="Times New Roman" w:eastAsia="Times New Roman" w:hAnsi="Times New Roman" w:cs="Times New Roman"/>
          <w:sz w:val="24"/>
          <w:szCs w:val="24"/>
        </w:rPr>
        <w:t>Chlorambucil</w:t>
      </w:r>
      <w:proofErr w:type="spellEnd"/>
      <w:r>
        <w:rPr>
          <w:rFonts w:ascii="Times New Roman" w:eastAsia="Times New Roman" w:hAnsi="Times New Roman" w:cs="Times New Roman"/>
          <w:sz w:val="24"/>
          <w:szCs w:val="24"/>
        </w:rPr>
        <w:t xml:space="preserve"> in combination with </w:t>
      </w:r>
      <w:proofErr w:type="spellStart"/>
      <w:r>
        <w:rPr>
          <w:rFonts w:ascii="Times New Roman" w:eastAsia="Times New Roman" w:hAnsi="Times New Roman" w:cs="Times New Roman"/>
          <w:sz w:val="24"/>
          <w:szCs w:val="24"/>
        </w:rPr>
        <w:t>Obinutuzumab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ClbO</w:t>
      </w:r>
      <w:proofErr w:type="spellEnd"/>
      <w:r>
        <w:rPr>
          <w:rFonts w:ascii="Times New Roman" w:eastAsia="Times New Roman" w:hAnsi="Times New Roman" w:cs="Times New Roman"/>
          <w:sz w:val="24"/>
          <w:szCs w:val="24"/>
        </w:rPr>
        <w:t>) are formulated and calculated in this tab.</w:t>
      </w:r>
    </w:p>
    <w:p w14:paraId="00000017"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Extrapolation</w:t>
      </w:r>
      <w:r>
        <w:rPr>
          <w:rFonts w:ascii="Times New Roman" w:eastAsia="Times New Roman" w:hAnsi="Times New Roman" w:cs="Times New Roman"/>
          <w:sz w:val="24"/>
          <w:szCs w:val="24"/>
        </w:rPr>
        <w:t>: empirical survival data are extrapolated to 29 years more in the future using four standard parametric distributi</w:t>
      </w:r>
      <w:r>
        <w:rPr>
          <w:rFonts w:ascii="Times New Roman" w:eastAsia="Times New Roman" w:hAnsi="Times New Roman" w:cs="Times New Roman"/>
          <w:sz w:val="24"/>
          <w:szCs w:val="24"/>
        </w:rPr>
        <w:t xml:space="preserve">ons (i.e. exponential, Weibull, log-logistic, and log-normal). From here, statistical tests including </w:t>
      </w:r>
      <w:proofErr w:type="spellStart"/>
      <w:r>
        <w:rPr>
          <w:rFonts w:ascii="Times New Roman" w:eastAsia="Times New Roman" w:hAnsi="Times New Roman" w:cs="Times New Roman"/>
          <w:sz w:val="24"/>
          <w:szCs w:val="24"/>
        </w:rPr>
        <w:t>Akaike’s</w:t>
      </w:r>
      <w:proofErr w:type="spellEnd"/>
      <w:r>
        <w:rPr>
          <w:rFonts w:ascii="Times New Roman" w:eastAsia="Times New Roman" w:hAnsi="Times New Roman" w:cs="Times New Roman"/>
          <w:sz w:val="24"/>
          <w:szCs w:val="24"/>
        </w:rPr>
        <w:t xml:space="preserve"> information criterion (AIC) and Bayesian Information Criterion (BIC) values were calculated as one of the criteria to select the best parametric </w:t>
      </w:r>
      <w:r>
        <w:rPr>
          <w:rFonts w:ascii="Times New Roman" w:eastAsia="Times New Roman" w:hAnsi="Times New Roman" w:cs="Times New Roman"/>
          <w:sz w:val="24"/>
          <w:szCs w:val="24"/>
        </w:rPr>
        <w:t>distribution to use for fitting the survival curves.</w:t>
      </w:r>
    </w:p>
    <w:p w14:paraId="00000018" w14:textId="3B5D4EF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Background mortality</w:t>
      </w:r>
      <w:r>
        <w:rPr>
          <w:rFonts w:ascii="Times New Roman" w:eastAsia="Times New Roman" w:hAnsi="Times New Roman" w:cs="Times New Roman"/>
          <w:sz w:val="24"/>
          <w:szCs w:val="24"/>
        </w:rPr>
        <w:t>:  In order to avoid long-term survival extrapolation to surpass general population mortality, a correction for the life expectancy of the general Dutch population was carried out in our</w:t>
      </w:r>
      <w:r>
        <w:rPr>
          <w:rFonts w:ascii="Times New Roman" w:eastAsia="Times New Roman" w:hAnsi="Times New Roman" w:cs="Times New Roman"/>
          <w:sz w:val="24"/>
          <w:szCs w:val="24"/>
        </w:rPr>
        <w:t xml:space="preserve"> model. The 2018 (the latest year with complete data) Dutch life tabl</w:t>
      </w:r>
      <w:r>
        <w:rPr>
          <w:rFonts w:ascii="Times New Roman" w:eastAsia="Times New Roman" w:hAnsi="Times New Roman" w:cs="Times New Roman"/>
          <w:sz w:val="24"/>
          <w:szCs w:val="24"/>
        </w:rPr>
        <w:t>e (gender-specific) from the human mortality database was incorporated into the model through this tab.</w:t>
      </w:r>
    </w:p>
    <w:p w14:paraId="00000019" w14:textId="128DB3DB"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PF state calculation</w:t>
      </w:r>
      <w:r>
        <w:rPr>
          <w:rFonts w:ascii="Times New Roman" w:eastAsia="Times New Roman" w:hAnsi="Times New Roman" w:cs="Times New Roman"/>
          <w:sz w:val="24"/>
          <w:szCs w:val="24"/>
        </w:rPr>
        <w:t>: Intermediate calculations for Progression Free Disease State related costs such as drug acquisition costs, premedication costs, ch</w:t>
      </w:r>
      <w:r>
        <w:rPr>
          <w:rFonts w:ascii="Times New Roman" w:eastAsia="Times New Roman" w:hAnsi="Times New Roman" w:cs="Times New Roman"/>
          <w:sz w:val="24"/>
          <w:szCs w:val="24"/>
        </w:rPr>
        <w:t xml:space="preserve">emotherapy administration costs, follow-up costs are presented here before </w:t>
      </w:r>
      <w:r>
        <w:rPr>
          <w:rFonts w:ascii="Times New Roman" w:eastAsia="Times New Roman" w:hAnsi="Times New Roman" w:cs="Times New Roman"/>
          <w:sz w:val="24"/>
          <w:szCs w:val="24"/>
        </w:rPr>
        <w:t>the values are linked</w:t>
      </w:r>
      <w:r>
        <w:rPr>
          <w:rFonts w:ascii="Times New Roman" w:eastAsia="Times New Roman" w:hAnsi="Times New Roman" w:cs="Times New Roman"/>
          <w:sz w:val="24"/>
          <w:szCs w:val="24"/>
        </w:rPr>
        <w:t xml:space="preserve"> to the parameters and treatment tabs.</w:t>
      </w:r>
    </w:p>
    <w:p w14:paraId="0000001A" w14:textId="47C38A06"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PD state calculation</w:t>
      </w:r>
      <w:r>
        <w:rPr>
          <w:rFonts w:ascii="Times New Roman" w:eastAsia="Times New Roman" w:hAnsi="Times New Roman" w:cs="Times New Roman"/>
          <w:sz w:val="24"/>
          <w:szCs w:val="24"/>
        </w:rPr>
        <w:t xml:space="preserve">: Intermediate calculations for Progression Disease State related costs such as drug acquisition costs, </w:t>
      </w:r>
      <w:r>
        <w:rPr>
          <w:rFonts w:ascii="Times New Roman" w:eastAsia="Times New Roman" w:hAnsi="Times New Roman" w:cs="Times New Roman"/>
          <w:sz w:val="24"/>
          <w:szCs w:val="24"/>
        </w:rPr>
        <w:t xml:space="preserve">premedication costs, chemotherapy administration costs, follow-up costs are presented here before the values are linked </w:t>
      </w:r>
      <w:r>
        <w:rPr>
          <w:rFonts w:ascii="Times New Roman" w:eastAsia="Times New Roman" w:hAnsi="Times New Roman" w:cs="Times New Roman"/>
          <w:sz w:val="24"/>
          <w:szCs w:val="24"/>
        </w:rPr>
        <w:t>to the parameters and treatment tabs.</w:t>
      </w:r>
    </w:p>
    <w:p w14:paraId="0000001B" w14:textId="3F47E8EF"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TLS</w:t>
      </w:r>
      <w:r>
        <w:rPr>
          <w:rFonts w:ascii="Times New Roman" w:eastAsia="Times New Roman" w:hAnsi="Times New Roman" w:cs="Times New Roman"/>
          <w:sz w:val="24"/>
          <w:szCs w:val="24"/>
        </w:rPr>
        <w:t>: Intermediate calculations for prevention and t</w:t>
      </w:r>
      <w:r>
        <w:rPr>
          <w:rFonts w:ascii="Times New Roman" w:eastAsia="Times New Roman" w:hAnsi="Times New Roman" w:cs="Times New Roman"/>
          <w:sz w:val="24"/>
          <w:szCs w:val="24"/>
        </w:rPr>
        <w:t xml:space="preserve">reatment of </w:t>
      </w:r>
      <w:proofErr w:type="spellStart"/>
      <w:r>
        <w:rPr>
          <w:rFonts w:ascii="Times New Roman" w:eastAsia="Times New Roman" w:hAnsi="Times New Roman" w:cs="Times New Roman"/>
          <w:sz w:val="24"/>
          <w:szCs w:val="24"/>
        </w:rPr>
        <w:t>Tumour</w:t>
      </w:r>
      <w:proofErr w:type="spellEnd"/>
      <w:r>
        <w:rPr>
          <w:rFonts w:ascii="Times New Roman" w:eastAsia="Times New Roman" w:hAnsi="Times New Roman" w:cs="Times New Roman"/>
          <w:sz w:val="24"/>
          <w:szCs w:val="24"/>
        </w:rPr>
        <w:t xml:space="preserve"> Lysis Syndrome (TLS), a princip</w:t>
      </w:r>
      <w:r>
        <w:rPr>
          <w:rFonts w:ascii="Times New Roman" w:eastAsia="Times New Roman" w:hAnsi="Times New Roman" w:cs="Times New Roman"/>
          <w:sz w:val="24"/>
          <w:szCs w:val="24"/>
        </w:rPr>
        <w:t xml:space="preserve">al adverse reaction associated with treatments for CLL patients are </w:t>
      </w:r>
      <w:r>
        <w:rPr>
          <w:rFonts w:ascii="Times New Roman" w:eastAsia="Times New Roman" w:hAnsi="Times New Roman" w:cs="Times New Roman"/>
          <w:sz w:val="24"/>
          <w:szCs w:val="24"/>
        </w:rPr>
        <w:t>carried out in this tab.</w:t>
      </w:r>
    </w:p>
    <w:p w14:paraId="0000001C"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Indirect medical costs</w:t>
      </w:r>
      <w:r>
        <w:rPr>
          <w:rFonts w:ascii="Times New Roman" w:eastAsia="Times New Roman" w:hAnsi="Times New Roman" w:cs="Times New Roman"/>
          <w:sz w:val="24"/>
          <w:szCs w:val="24"/>
        </w:rPr>
        <w:t>: Intermediate calculations for indirect medical costs including end of life costs and future medical costs are presented in this tab. All th</w:t>
      </w:r>
      <w:r>
        <w:rPr>
          <w:rFonts w:ascii="Times New Roman" w:eastAsia="Times New Roman" w:hAnsi="Times New Roman" w:cs="Times New Roman"/>
          <w:sz w:val="24"/>
          <w:szCs w:val="24"/>
        </w:rPr>
        <w:t xml:space="preserve">ese future medical costs used here were taken from the </w:t>
      </w:r>
      <w:proofErr w:type="spellStart"/>
      <w:r>
        <w:rPr>
          <w:rFonts w:ascii="Times New Roman" w:eastAsia="Times New Roman" w:hAnsi="Times New Roman" w:cs="Times New Roman"/>
          <w:sz w:val="24"/>
          <w:szCs w:val="24"/>
        </w:rPr>
        <w:t>iMTA</w:t>
      </w:r>
      <w:proofErr w:type="spellEnd"/>
      <w:r>
        <w:rPr>
          <w:rFonts w:ascii="Times New Roman" w:eastAsia="Times New Roman" w:hAnsi="Times New Roman" w:cs="Times New Roman"/>
          <w:sz w:val="24"/>
          <w:szCs w:val="24"/>
        </w:rPr>
        <w:t xml:space="preserve"> PAID tool (version 3.0), which is available online (https://imta.shiny apps.io/PAID3/).</w:t>
      </w:r>
    </w:p>
    <w:p w14:paraId="0000001D"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Direct non-medical costs</w:t>
      </w:r>
      <w:r>
        <w:rPr>
          <w:rFonts w:ascii="Times New Roman" w:eastAsia="Times New Roman" w:hAnsi="Times New Roman" w:cs="Times New Roman"/>
          <w:sz w:val="24"/>
          <w:szCs w:val="24"/>
        </w:rPr>
        <w:t>: Intermediate calculations for direct non-medical costs including informal care cos</w:t>
      </w:r>
      <w:r>
        <w:rPr>
          <w:rFonts w:ascii="Times New Roman" w:eastAsia="Times New Roman" w:hAnsi="Times New Roman" w:cs="Times New Roman"/>
          <w:sz w:val="24"/>
          <w:szCs w:val="24"/>
        </w:rPr>
        <w:t>ts and transportation costs are presented in this tab.</w:t>
      </w:r>
    </w:p>
    <w:p w14:paraId="0000001E" w14:textId="7A3450E5"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Indirect non-medical</w:t>
      </w:r>
      <w:r>
        <w:rPr>
          <w:rFonts w:ascii="Times New Roman" w:eastAsia="Times New Roman" w:hAnsi="Times New Roman" w:cs="Times New Roman"/>
          <w:b/>
          <w:sz w:val="24"/>
          <w:szCs w:val="24"/>
        </w:rPr>
        <w:t xml:space="preserve"> costs</w:t>
      </w:r>
      <w:r>
        <w:rPr>
          <w:rFonts w:ascii="Times New Roman" w:eastAsia="Times New Roman" w:hAnsi="Times New Roman" w:cs="Times New Roman"/>
          <w:sz w:val="24"/>
          <w:szCs w:val="24"/>
        </w:rPr>
        <w:t>: Intermediate calculations for indirect non-medical costs including future non-</w:t>
      </w:r>
      <w:r>
        <w:rPr>
          <w:rFonts w:ascii="Times New Roman" w:eastAsia="Times New Roman" w:hAnsi="Times New Roman" w:cs="Times New Roman"/>
          <w:sz w:val="24"/>
          <w:szCs w:val="24"/>
        </w:rPr>
        <w:t>medical costs are presented in this tab. All future non-</w:t>
      </w:r>
      <w:r>
        <w:rPr>
          <w:rFonts w:ascii="Times New Roman" w:eastAsia="Times New Roman" w:hAnsi="Times New Roman" w:cs="Times New Roman"/>
          <w:sz w:val="24"/>
          <w:szCs w:val="24"/>
        </w:rPr>
        <w:t xml:space="preserve">medical costs used here were taken </w:t>
      </w:r>
      <w:r>
        <w:rPr>
          <w:rFonts w:ascii="Times New Roman" w:eastAsia="Times New Roman" w:hAnsi="Times New Roman" w:cs="Times New Roman"/>
          <w:sz w:val="24"/>
          <w:szCs w:val="24"/>
        </w:rPr>
        <w:t xml:space="preserve">from the </w:t>
      </w:r>
      <w:proofErr w:type="spellStart"/>
      <w:r>
        <w:rPr>
          <w:rFonts w:ascii="Times New Roman" w:eastAsia="Times New Roman" w:hAnsi="Times New Roman" w:cs="Times New Roman"/>
          <w:sz w:val="24"/>
          <w:szCs w:val="24"/>
        </w:rPr>
        <w:t>iMTA</w:t>
      </w:r>
      <w:proofErr w:type="spellEnd"/>
      <w:r>
        <w:rPr>
          <w:rFonts w:ascii="Times New Roman" w:eastAsia="Times New Roman" w:hAnsi="Times New Roman" w:cs="Times New Roman"/>
          <w:sz w:val="24"/>
          <w:szCs w:val="24"/>
        </w:rPr>
        <w:t xml:space="preserve"> PAID tool (version 3.0), which is available online (https://imta.shiny apps.io/PAID3/).</w:t>
      </w:r>
    </w:p>
    <w:p w14:paraId="0000001F" w14:textId="6F793548"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DSA</w:t>
      </w:r>
      <w:r>
        <w:rPr>
          <w:rFonts w:ascii="Times New Roman" w:eastAsia="Times New Roman" w:hAnsi="Times New Roman" w:cs="Times New Roman"/>
          <w:sz w:val="24"/>
          <w:szCs w:val="24"/>
        </w:rPr>
        <w:t>: One-way deterministic sensitivity analysis is presented here using an Excel macro adapted from Hart et al</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EN.CITE &lt;EndNote&gt;&lt;Cite&gt;&lt;Author&gt;Hart&lt;/Author&gt;&lt;Year&gt;2020&lt;/Year&gt;&lt;RecNum&gt;142&lt;/RecNum&gt;&lt;DisplayText&gt;&lt;style face="superscript"&gt;1&lt;/style&gt;&lt;/DisplayText&gt;&lt;record&gt;&lt;rec-number&gt;142&lt;/rec-number&gt;&lt;foreign-keys&gt;&lt;key app="EN" db-id="fzwet02wnd9tvies5tuvx2vc0ev2evddat9d" timestamp="1624530670"&gt;142&lt;/key&gt;&lt;/foreign-keys&gt;&lt;ref-type name="Journal Article"&gt;17&lt;/ref-type&gt;&lt;contributors&gt;&lt;authors&gt;&lt;author&gt;Hart, R.&lt;/author&gt;&lt;author&gt;Burns, D.&lt;/author&gt;&lt;author&gt;Ramaekers, B.&lt;/author&gt;&lt;author&gt;Ren, S.&lt;/author&gt;&lt;author&gt;Gladwell, D.&lt;/author&gt;&lt;author&gt;Sullivan, W.&lt;/author&gt;&lt;author&gt;Davison, N.&lt;/author&gt;&lt;author&gt;Saunders, O.&lt;/author&gt;&lt;author&gt;Sly, I.&lt;/author&gt;&lt;author&gt;Cain, T.&lt;/author&gt;&lt;author&gt;Lee, D.&lt;/author&gt;&lt;/authors&gt;&lt;/contributors&gt;&lt;auth-address&gt;BresMed Health Solutions, Sheffield, UK. rhart@bresmed.com.&amp;#xD;BresMed Health Solutions, Sheffield, UK.&amp;#xD;Department of Clinical Epidemiology and Medical Technology Assessment, Maastricht University Medical Center, Maastricht, The Netherlands.&amp;#xD;School of Health and Related Research, University of Sheffield, Sheffield, UK.&amp;#xD;BresMed Health Solutions, Manchester, UK.&lt;/auth-address&gt;&lt;titles&gt;&lt;title&gt;R and Shiny for Cost-Effectiveness Analyses: Why and When? A Hypothetical Case Study&lt;/title&gt;&lt;secondary-title&gt;Pharmacoeconomics&lt;/secondary-title&gt;&lt;/titles&gt;&lt;periodical&gt;&lt;full-title&gt;Pharmacoeconomics&lt;/full-title&gt;&lt;/periodical&gt;&lt;pages&gt;765-776&lt;/pages&gt;&lt;volume&gt;38&lt;/volume&gt;&lt;number&gt;7&lt;/number&gt;&lt;edition&gt;2020/04/03&lt;/edition&gt;&lt;keywords&gt;&lt;keyword&gt;*Cost-Benefit Analysis&lt;/keyword&gt;&lt;keyword&gt;Drug Industry/economics&lt;/keyword&gt;&lt;keyword&gt;Humans&lt;/keyword&gt;&lt;keyword&gt;*Models, Economic&lt;/keyword&gt;&lt;keyword&gt;*Outcome Assessment, Health Care&lt;/keyword&gt;&lt;keyword&gt;Software&lt;/keyword&gt;&lt;keyword&gt;Technology Assessment, Biomedical/economics&lt;/keyword&gt;&lt;/keywords&gt;&lt;dates&gt;&lt;year&gt;2020&lt;/year&gt;&lt;pub-dates&gt;&lt;date&gt;Jul&lt;/date&gt;&lt;/pub-dates&gt;&lt;/dates&gt;&lt;isbn&gt;1170-7690&lt;/isbn&gt;&lt;accession-num&gt;32236891&lt;/accession-num&gt;&lt;urls&gt;&lt;/urls&gt;&lt;electronic-resource-num&gt;10.1007/s40273-020-00903-9&lt;/electronic-resource-num&gt;&lt;remote-database-provider&gt;NLM&lt;/remote-database-provider&gt;&lt;language&gt;eng&lt;/language&gt;&lt;/record&gt;&lt;/Cite&gt;&lt;/EndNote&gt;</w:instrText>
      </w:r>
      <w:r>
        <w:rPr>
          <w:rFonts w:ascii="Times New Roman" w:eastAsia="Times New Roman" w:hAnsi="Times New Roman" w:cs="Times New Roman"/>
          <w:sz w:val="24"/>
          <w:szCs w:val="24"/>
        </w:rPr>
        <w:fldChar w:fldCharType="separate"/>
      </w:r>
      <w:r w:rsidRPr="00820254">
        <w:rPr>
          <w:rFonts w:ascii="Times New Roman" w:eastAsia="Times New Roman" w:hAnsi="Times New Roman" w:cs="Times New Roman"/>
          <w:noProof/>
          <w:sz w:val="24"/>
          <w:szCs w:val="24"/>
          <w:vertAlign w:val="superscript"/>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to examine which parameter is the most infl</w:t>
      </w:r>
      <w:r>
        <w:rPr>
          <w:rFonts w:ascii="Times New Roman" w:eastAsia="Times New Roman" w:hAnsi="Times New Roman" w:cs="Times New Roman"/>
          <w:sz w:val="24"/>
          <w:szCs w:val="24"/>
        </w:rPr>
        <w:t xml:space="preserve">uential factor for the ICER. </w:t>
      </w:r>
    </w:p>
    <w:p w14:paraId="00000020"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PSA</w:t>
      </w:r>
      <w:r>
        <w:rPr>
          <w:rFonts w:ascii="Times New Roman" w:eastAsia="Times New Roman" w:hAnsi="Times New Roman" w:cs="Times New Roman"/>
          <w:sz w:val="24"/>
          <w:szCs w:val="24"/>
        </w:rPr>
        <w:t>: By using Monte Carlo simulations with 2,000 iterations, we explored the joint parameter uncertainty in this tab.</w:t>
      </w:r>
    </w:p>
    <w:p w14:paraId="00000021" w14:textId="21CA1A38"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Scenario analysis</w:t>
      </w:r>
      <w:r>
        <w:rPr>
          <w:rFonts w:ascii="Times New Roman" w:eastAsia="Times New Roman" w:hAnsi="Times New Roman" w:cs="Times New Roman"/>
          <w:sz w:val="24"/>
          <w:szCs w:val="24"/>
        </w:rPr>
        <w:t>: this tab lists 22</w:t>
      </w:r>
      <w:r>
        <w:rPr>
          <w:rFonts w:ascii="Times New Roman" w:eastAsia="Times New Roman" w:hAnsi="Times New Roman" w:cs="Times New Roman"/>
          <w:sz w:val="24"/>
          <w:szCs w:val="24"/>
        </w:rPr>
        <w:t xml:space="preserve"> scenarios tested in the model and their corresponding results (</w:t>
      </w:r>
      <w:r>
        <w:rPr>
          <w:rFonts w:ascii="Times New Roman" w:eastAsia="Times New Roman" w:hAnsi="Times New Roman" w:cs="Times New Roman"/>
          <w:sz w:val="24"/>
          <w:szCs w:val="24"/>
        </w:rPr>
        <w:t>ICERs)</w:t>
      </w:r>
      <w:r>
        <w:rPr>
          <w:rFonts w:ascii="Times New Roman" w:eastAsia="Times New Roman" w:hAnsi="Times New Roman" w:cs="Times New Roman"/>
          <w:sz w:val="24"/>
          <w:szCs w:val="24"/>
        </w:rPr>
        <w:t>.</w:t>
      </w:r>
    </w:p>
    <w:p w14:paraId="00000022"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VOI</w:t>
      </w:r>
      <w:r>
        <w:rPr>
          <w:rFonts w:ascii="Times New Roman" w:eastAsia="Times New Roman" w:hAnsi="Times New Roman" w:cs="Times New Roman"/>
          <w:sz w:val="24"/>
          <w:szCs w:val="24"/>
        </w:rPr>
        <w:t>: with an Excel macro embedded, this tab calculates Expected Value of Perfect Information (EVPI), representing the maximum value one can expect to gain if uncertainty from all model parameters was eliminated.</w:t>
      </w:r>
    </w:p>
    <w:p w14:paraId="00000023"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CE plane</w:t>
      </w:r>
      <w:r>
        <w:rPr>
          <w:rFonts w:ascii="Times New Roman" w:eastAsia="Times New Roman" w:hAnsi="Times New Roman" w:cs="Times New Roman"/>
          <w:sz w:val="24"/>
          <w:szCs w:val="24"/>
        </w:rPr>
        <w:t xml:space="preserve">: Results (i.e. ICER) of the 2,000 </w:t>
      </w:r>
      <w:r>
        <w:rPr>
          <w:rFonts w:ascii="Times New Roman" w:eastAsia="Times New Roman" w:hAnsi="Times New Roman" w:cs="Times New Roman"/>
          <w:sz w:val="24"/>
          <w:szCs w:val="24"/>
        </w:rPr>
        <w:t>PSA iterations are depicted in the cost-effectiveness (CE) plane.</w:t>
      </w:r>
    </w:p>
    <w:p w14:paraId="00000024"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CEAC</w:t>
      </w:r>
      <w:r>
        <w:rPr>
          <w:rFonts w:ascii="Times New Roman" w:eastAsia="Times New Roman" w:hAnsi="Times New Roman" w:cs="Times New Roman"/>
          <w:sz w:val="24"/>
          <w:szCs w:val="24"/>
        </w:rPr>
        <w:t xml:space="preserve">: The probability of </w:t>
      </w:r>
      <w:proofErr w:type="spellStart"/>
      <w:r>
        <w:rPr>
          <w:rFonts w:ascii="Times New Roman" w:eastAsia="Times New Roman" w:hAnsi="Times New Roman" w:cs="Times New Roman"/>
          <w:sz w:val="24"/>
          <w:szCs w:val="24"/>
        </w:rPr>
        <w:t>VenO</w:t>
      </w:r>
      <w:proofErr w:type="spellEnd"/>
      <w:r>
        <w:rPr>
          <w:rFonts w:ascii="Times New Roman" w:eastAsia="Times New Roman" w:hAnsi="Times New Roman" w:cs="Times New Roman"/>
          <w:sz w:val="24"/>
          <w:szCs w:val="24"/>
        </w:rPr>
        <w:t xml:space="preserve"> being cost-effective at different WTP thresholds is visualized in the cost-effectiveness acceptability (CEAC) curve. </w:t>
      </w:r>
    </w:p>
    <w:p w14:paraId="00000025" w14:textId="77777777" w:rsidR="00305120" w:rsidRDefault="00820254">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EVPI</w:t>
      </w:r>
      <w:r>
        <w:rPr>
          <w:rFonts w:ascii="Times New Roman" w:eastAsia="Times New Roman" w:hAnsi="Times New Roman" w:cs="Times New Roman"/>
          <w:sz w:val="24"/>
          <w:szCs w:val="24"/>
        </w:rPr>
        <w:t>: EVPI curves are visualized in this t</w:t>
      </w:r>
      <w:r>
        <w:rPr>
          <w:rFonts w:ascii="Times New Roman" w:eastAsia="Times New Roman" w:hAnsi="Times New Roman" w:cs="Times New Roman"/>
          <w:sz w:val="24"/>
          <w:szCs w:val="24"/>
        </w:rPr>
        <w:t>ab using the results calculated from the VOI tab.</w:t>
      </w:r>
    </w:p>
    <w:p w14:paraId="00000026" w14:textId="3531C4FC" w:rsidR="00305120" w:rsidRDefault="00820254">
      <w:pPr>
        <w:numPr>
          <w:ilvl w:val="0"/>
          <w:numId w:val="1"/>
        </w:numPr>
        <w:spacing w:after="160"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TTNT, PFS, OS curves</w:t>
      </w:r>
      <w:r>
        <w:rPr>
          <w:rFonts w:ascii="Times New Roman" w:eastAsia="Times New Roman" w:hAnsi="Times New Roman" w:cs="Times New Roman"/>
          <w:sz w:val="24"/>
          <w:szCs w:val="24"/>
        </w:rPr>
        <w:t>: for each treatment arm, all fitted and empirical survival curves are presented in one pl</w:t>
      </w:r>
      <w:r>
        <w:rPr>
          <w:rFonts w:ascii="Times New Roman" w:eastAsia="Times New Roman" w:hAnsi="Times New Roman" w:cs="Times New Roman"/>
          <w:sz w:val="24"/>
          <w:szCs w:val="24"/>
        </w:rPr>
        <w:t>ot to serve as the visual test to choose the best-fitted</w:t>
      </w:r>
      <w:r>
        <w:rPr>
          <w:rFonts w:ascii="Times New Roman" w:eastAsia="Times New Roman" w:hAnsi="Times New Roman" w:cs="Times New Roman"/>
          <w:sz w:val="24"/>
          <w:szCs w:val="24"/>
        </w:rPr>
        <w:t xml:space="preserve"> parametric distribution.</w:t>
      </w:r>
    </w:p>
    <w:p w14:paraId="2156BB80" w14:textId="1A125FC7" w:rsidR="007D4FFA" w:rsidRDefault="007D4FFA" w:rsidP="007D4FFA">
      <w:pPr>
        <w:numPr>
          <w:ilvl w:val="0"/>
          <w:numId w:val="1"/>
        </w:numPr>
        <w:spacing w:line="331"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Combined graphs</w:t>
      </w:r>
      <w:r>
        <w:rPr>
          <w:rFonts w:ascii="Times New Roman" w:eastAsia="Times New Roman" w:hAnsi="Times New Roman" w:cs="Times New Roman"/>
          <w:sz w:val="24"/>
          <w:szCs w:val="24"/>
        </w:rPr>
        <w:t xml:space="preserve">: All the </w:t>
      </w:r>
      <w:r w:rsidR="00820254">
        <w:rPr>
          <w:rFonts w:ascii="Times New Roman" w:eastAsia="Times New Roman" w:hAnsi="Times New Roman" w:cs="Times New Roman"/>
          <w:sz w:val="24"/>
          <w:szCs w:val="24"/>
        </w:rPr>
        <w:t xml:space="preserve">chosen </w:t>
      </w:r>
      <w:r>
        <w:rPr>
          <w:rFonts w:ascii="Times New Roman" w:eastAsia="Times New Roman" w:hAnsi="Times New Roman" w:cs="Times New Roman"/>
          <w:sz w:val="24"/>
          <w:szCs w:val="24"/>
        </w:rPr>
        <w:t>fitted survival curves (progression free survival, overall survival, time-to-the-next treatment curve, and general po</w:t>
      </w:r>
      <w:r w:rsidR="00820254">
        <w:rPr>
          <w:rFonts w:ascii="Times New Roman" w:eastAsia="Times New Roman" w:hAnsi="Times New Roman" w:cs="Times New Roman"/>
          <w:sz w:val="24"/>
          <w:szCs w:val="24"/>
        </w:rPr>
        <w:t>pulation overall survival curve)</w:t>
      </w:r>
      <w:r>
        <w:rPr>
          <w:rFonts w:ascii="Times New Roman" w:eastAsia="Times New Roman" w:hAnsi="Times New Roman" w:cs="Times New Roman"/>
          <w:sz w:val="24"/>
          <w:szCs w:val="24"/>
        </w:rPr>
        <w:t xml:space="preserve"> are plotted in the same plot for each treatment arm.</w:t>
      </w:r>
    </w:p>
    <w:p w14:paraId="4FDB0B8B" w14:textId="77777777" w:rsidR="007D4FFA" w:rsidRDefault="007D4FFA" w:rsidP="007D4FFA">
      <w:pPr>
        <w:spacing w:after="160" w:line="331" w:lineRule="auto"/>
        <w:ind w:left="720"/>
        <w:rPr>
          <w:rFonts w:ascii="Times New Roman" w:eastAsia="Times New Roman" w:hAnsi="Times New Roman" w:cs="Times New Roman"/>
          <w:sz w:val="24"/>
          <w:szCs w:val="24"/>
        </w:rPr>
      </w:pPr>
    </w:p>
    <w:p w14:paraId="0803C5C4" w14:textId="49DB9740" w:rsidR="00820254" w:rsidRPr="00820254" w:rsidRDefault="00820254">
      <w:pPr>
        <w:rPr>
          <w:rFonts w:ascii="Times New Roman" w:eastAsia="Times New Roman" w:hAnsi="Times New Roman" w:cs="Times New Roman"/>
          <w:b/>
          <w:sz w:val="24"/>
          <w:szCs w:val="24"/>
        </w:rPr>
      </w:pPr>
      <w:r w:rsidRPr="00820254">
        <w:rPr>
          <w:rFonts w:ascii="Times New Roman" w:eastAsia="Times New Roman" w:hAnsi="Times New Roman" w:cs="Times New Roman"/>
          <w:b/>
          <w:sz w:val="24"/>
          <w:szCs w:val="24"/>
        </w:rPr>
        <w:t>Reference:</w:t>
      </w:r>
    </w:p>
    <w:p w14:paraId="46E6B75B" w14:textId="77777777" w:rsidR="00820254" w:rsidRPr="00820254" w:rsidRDefault="00820254">
      <w:pPr>
        <w:rPr>
          <w:rFonts w:ascii="Times New Roman" w:eastAsia="Times New Roman" w:hAnsi="Times New Roman" w:cs="Times New Roman"/>
          <w:sz w:val="24"/>
          <w:szCs w:val="24"/>
        </w:rPr>
      </w:pPr>
    </w:p>
    <w:p w14:paraId="11C5E561" w14:textId="77777777" w:rsidR="00820254" w:rsidRPr="00820254" w:rsidRDefault="00820254" w:rsidP="00820254">
      <w:pPr>
        <w:pStyle w:val="EndNoteBibliography"/>
        <w:rPr>
          <w:rFonts w:ascii="Times New Roman" w:hAnsi="Times New Roman" w:cs="Times New Roman"/>
          <w:sz w:val="24"/>
          <w:szCs w:val="24"/>
        </w:rPr>
      </w:pPr>
      <w:r w:rsidRPr="00820254">
        <w:rPr>
          <w:rFonts w:ascii="Times New Roman" w:eastAsia="Times New Roman" w:hAnsi="Times New Roman" w:cs="Times New Roman"/>
          <w:sz w:val="24"/>
          <w:szCs w:val="24"/>
        </w:rPr>
        <w:fldChar w:fldCharType="begin"/>
      </w:r>
      <w:r w:rsidRPr="00820254">
        <w:rPr>
          <w:rFonts w:ascii="Times New Roman" w:eastAsia="Times New Roman" w:hAnsi="Times New Roman" w:cs="Times New Roman"/>
          <w:sz w:val="24"/>
          <w:szCs w:val="24"/>
        </w:rPr>
        <w:instrText xml:space="preserve"> ADDIN EN.REFLIST </w:instrText>
      </w:r>
      <w:r w:rsidRPr="00820254">
        <w:rPr>
          <w:rFonts w:ascii="Times New Roman" w:eastAsia="Times New Roman" w:hAnsi="Times New Roman" w:cs="Times New Roman"/>
          <w:sz w:val="24"/>
          <w:szCs w:val="24"/>
        </w:rPr>
        <w:fldChar w:fldCharType="separate"/>
      </w:r>
      <w:r w:rsidRPr="00820254">
        <w:rPr>
          <w:rFonts w:ascii="Times New Roman" w:hAnsi="Times New Roman" w:cs="Times New Roman"/>
          <w:sz w:val="24"/>
          <w:szCs w:val="24"/>
        </w:rPr>
        <w:t>1.</w:t>
      </w:r>
      <w:r w:rsidRPr="00820254">
        <w:rPr>
          <w:rFonts w:ascii="Times New Roman" w:hAnsi="Times New Roman" w:cs="Times New Roman"/>
          <w:sz w:val="24"/>
          <w:szCs w:val="24"/>
        </w:rPr>
        <w:tab/>
        <w:t xml:space="preserve">Hart R, Burns D, Ramaekers B, et al. R and Shiny for Cost-Effectiveness Analyses: Why and When? A Hypothetical Case Study. </w:t>
      </w:r>
      <w:r w:rsidRPr="00820254">
        <w:rPr>
          <w:rFonts w:ascii="Times New Roman" w:hAnsi="Times New Roman" w:cs="Times New Roman"/>
          <w:i/>
          <w:sz w:val="24"/>
          <w:szCs w:val="24"/>
        </w:rPr>
        <w:t>Pharmacoeconomics</w:t>
      </w:r>
      <w:r w:rsidRPr="00820254">
        <w:rPr>
          <w:rFonts w:ascii="Times New Roman" w:hAnsi="Times New Roman" w:cs="Times New Roman"/>
          <w:sz w:val="24"/>
          <w:szCs w:val="24"/>
        </w:rPr>
        <w:t>. Jul 2020;38(7):765-776. doi:10.1007/s40273-020-00903-9</w:t>
      </w:r>
    </w:p>
    <w:p w14:paraId="00000027" w14:textId="0F7189F3" w:rsidR="00305120" w:rsidRDefault="00820254">
      <w:pPr>
        <w:rPr>
          <w:rFonts w:ascii="Times New Roman" w:eastAsia="Times New Roman" w:hAnsi="Times New Roman" w:cs="Times New Roman"/>
          <w:sz w:val="24"/>
          <w:szCs w:val="24"/>
        </w:rPr>
      </w:pPr>
      <w:r w:rsidRPr="00820254">
        <w:rPr>
          <w:rFonts w:ascii="Times New Roman" w:eastAsia="Times New Roman" w:hAnsi="Times New Roman" w:cs="Times New Roman"/>
          <w:sz w:val="24"/>
          <w:szCs w:val="24"/>
        </w:rPr>
        <w:fldChar w:fldCharType="end"/>
      </w:r>
      <w:bookmarkStart w:id="0" w:name="_GoBack"/>
      <w:bookmarkEnd w:id="0"/>
    </w:p>
    <w:sectPr w:rsidR="00305120">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05E0"/>
    <w:multiLevelType w:val="multilevel"/>
    <w:tmpl w:val="5B5AF3C4"/>
    <w:lvl w:ilvl="0">
      <w:start w:val="1"/>
      <w:numFmt w:val="bullet"/>
      <w:pStyle w:val="EndNoteBibliography"/>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6929B5"/>
    <w:multiLevelType w:val="multilevel"/>
    <w:tmpl w:val="861EA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wet02wnd9tvies5tuvx2vc0ev2evddat9d&quot;&gt;My Thesis Reference Library-Saved-Converted2&lt;record-ids&gt;&lt;item&gt;142&lt;/item&gt;&lt;/record-ids&gt;&lt;/item&gt;&lt;/Libraries&gt;"/>
  </w:docVars>
  <w:rsids>
    <w:rsidRoot w:val="00305120"/>
    <w:rsid w:val="00305120"/>
    <w:rsid w:val="007D4FFA"/>
    <w:rsid w:val="00820254"/>
    <w:rsid w:val="00A20B9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D794"/>
  <w15:docId w15:val="{402819D9-70A2-4763-85FB-B3381672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nb-N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2025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54"/>
    <w:rPr>
      <w:rFonts w:ascii="Segoe UI" w:hAnsi="Segoe UI" w:cs="Segoe UI"/>
      <w:sz w:val="18"/>
      <w:szCs w:val="18"/>
    </w:rPr>
  </w:style>
  <w:style w:type="paragraph" w:customStyle="1" w:styleId="EndNoteBibliographyTitle">
    <w:name w:val="EndNote Bibliography Title"/>
    <w:basedOn w:val="Normal"/>
    <w:link w:val="EndNoteBibliographyTitleChar"/>
    <w:rsid w:val="00820254"/>
    <w:pPr>
      <w:jc w:val="center"/>
    </w:pPr>
    <w:rPr>
      <w:noProof/>
      <w:lang w:val="nb-NO"/>
    </w:rPr>
  </w:style>
  <w:style w:type="character" w:customStyle="1" w:styleId="EndNoteBibliographyTitleChar">
    <w:name w:val="EndNote Bibliography Title Char"/>
    <w:basedOn w:val="DefaultParagraphFont"/>
    <w:link w:val="EndNoteBibliographyTitle"/>
    <w:rsid w:val="00820254"/>
    <w:rPr>
      <w:noProof/>
      <w:lang w:val="nb-NO"/>
    </w:rPr>
  </w:style>
  <w:style w:type="paragraph" w:customStyle="1" w:styleId="EndNoteBibliography">
    <w:name w:val="EndNote Bibliography"/>
    <w:basedOn w:val="Normal"/>
    <w:link w:val="EndNoteBibliographyChar"/>
    <w:rsid w:val="00820254"/>
    <w:pPr>
      <w:spacing w:line="240" w:lineRule="auto"/>
    </w:pPr>
    <w:rPr>
      <w:noProof/>
      <w:lang w:val="nb-NO"/>
    </w:rPr>
  </w:style>
  <w:style w:type="character" w:customStyle="1" w:styleId="EndNoteBibliographyChar">
    <w:name w:val="EndNote Bibliography Char"/>
    <w:basedOn w:val="DefaultParagraphFont"/>
    <w:link w:val="EndNoteBibliography"/>
    <w:rsid w:val="00820254"/>
    <w:rPr>
      <w:noProof/>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1248</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Universitetet i Oslo</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Do</dc:creator>
  <cp:lastModifiedBy>Ngoc Do</cp:lastModifiedBy>
  <cp:revision>3</cp:revision>
  <dcterms:created xsi:type="dcterms:W3CDTF">2022-01-01T01:15:00Z</dcterms:created>
  <dcterms:modified xsi:type="dcterms:W3CDTF">2022-01-01T01:34:00Z</dcterms:modified>
</cp:coreProperties>
</file>